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37" w:rsidRPr="001F2AFF" w:rsidRDefault="00684B37" w:rsidP="00684B37">
      <w:pPr>
        <w:spacing w:before="100" w:beforeAutospacing="1" w:after="100" w:afterAutospacing="1" w:line="204" w:lineRule="atLeast"/>
        <w:ind w:right="862"/>
        <w:contextualSpacing/>
        <w:jc w:val="center"/>
        <w:rPr>
          <w:rFonts w:ascii="Arial" w:hAnsi="Arial"/>
          <w:b/>
          <w:sz w:val="24"/>
          <w:szCs w:val="24"/>
        </w:rPr>
      </w:pPr>
      <w:r w:rsidRPr="001F2AFF">
        <w:rPr>
          <w:rFonts w:ascii="Verdana" w:hAnsi="Verdana"/>
          <w:b/>
          <w:sz w:val="24"/>
          <w:szCs w:val="24"/>
        </w:rPr>
        <w:t>Matthias Ullrich</w:t>
      </w:r>
    </w:p>
    <w:p w:rsidR="00684B37" w:rsidRPr="001F2AFF" w:rsidRDefault="00684B37" w:rsidP="00684B37">
      <w:pPr>
        <w:spacing w:before="100" w:beforeAutospacing="1" w:after="100" w:afterAutospacing="1" w:line="204" w:lineRule="atLeast"/>
        <w:ind w:right="862"/>
        <w:contextualSpacing/>
        <w:jc w:val="center"/>
        <w:rPr>
          <w:rFonts w:ascii="Arial" w:hAnsi="Arial"/>
          <w:b/>
          <w:sz w:val="18"/>
          <w:szCs w:val="18"/>
        </w:rPr>
      </w:pPr>
      <w:r w:rsidRPr="001F2AFF">
        <w:rPr>
          <w:rFonts w:ascii="Arial" w:hAnsi="Arial"/>
          <w:b/>
          <w:sz w:val="18"/>
          <w:szCs w:val="18"/>
        </w:rPr>
        <w:t>Rechtsanwalt</w:t>
      </w:r>
    </w:p>
    <w:p w:rsidR="00684B37" w:rsidRPr="001F2AFF" w:rsidRDefault="00684B37" w:rsidP="00684B37">
      <w:pPr>
        <w:spacing w:before="100" w:beforeAutospacing="1" w:after="100" w:afterAutospacing="1" w:line="204" w:lineRule="atLeast"/>
        <w:ind w:right="862"/>
        <w:contextualSpacing/>
        <w:jc w:val="center"/>
        <w:rPr>
          <w:rFonts w:ascii="Arial" w:hAnsi="Arial"/>
          <w:b/>
          <w:sz w:val="18"/>
          <w:szCs w:val="18"/>
        </w:rPr>
      </w:pPr>
    </w:p>
    <w:p w:rsidR="00684B37" w:rsidRPr="001F2AFF" w:rsidRDefault="00684B37" w:rsidP="00684B37">
      <w:pPr>
        <w:spacing w:before="100" w:beforeAutospacing="1" w:after="100" w:afterAutospacing="1" w:line="204" w:lineRule="atLeast"/>
        <w:ind w:right="862"/>
        <w:contextualSpacing/>
        <w:jc w:val="center"/>
        <w:rPr>
          <w:rFonts w:ascii="Arial" w:hAnsi="Arial"/>
          <w:b/>
          <w:sz w:val="18"/>
          <w:szCs w:val="18"/>
        </w:rPr>
      </w:pPr>
      <w:r w:rsidRPr="001F2AFF">
        <w:rPr>
          <w:rFonts w:ascii="Arial" w:hAnsi="Arial"/>
          <w:b/>
          <w:sz w:val="18"/>
          <w:szCs w:val="18"/>
        </w:rPr>
        <w:t xml:space="preserve">Müggelseedamm 278, 12587 Berlin </w:t>
      </w:r>
    </w:p>
    <w:p w:rsidR="00684B37" w:rsidRPr="001F2AFF" w:rsidRDefault="00684B37" w:rsidP="00684B37">
      <w:pPr>
        <w:widowControl w:val="0"/>
        <w:spacing w:line="204" w:lineRule="atLeast"/>
        <w:ind w:right="862"/>
        <w:contextualSpacing/>
        <w:jc w:val="center"/>
        <w:rPr>
          <w:rFonts w:ascii="Arial" w:hAnsi="Arial"/>
          <w:b/>
          <w:sz w:val="18"/>
          <w:szCs w:val="18"/>
        </w:rPr>
      </w:pPr>
      <w:r w:rsidRPr="001F2AFF">
        <w:rPr>
          <w:rFonts w:ascii="Arial" w:hAnsi="Arial"/>
          <w:b/>
          <w:sz w:val="18"/>
          <w:szCs w:val="18"/>
        </w:rPr>
        <w:t>mail@ra-ullrich.de</w:t>
      </w:r>
    </w:p>
    <w:p w:rsidR="00684B37" w:rsidRPr="001F2AFF" w:rsidRDefault="00684B37" w:rsidP="00684B37">
      <w:pPr>
        <w:spacing w:after="936"/>
        <w:ind w:left="3312"/>
        <w:rPr>
          <w:rFonts w:ascii="Tahoma" w:hAnsi="Tahoma" w:cs="Tahoma"/>
          <w:b/>
          <w:sz w:val="18"/>
          <w:szCs w:val="18"/>
        </w:rPr>
      </w:pPr>
      <w:bookmarkStart w:id="0" w:name="_GoBack"/>
      <w:bookmarkEnd w:id="0"/>
    </w:p>
    <w:p w:rsidR="00684B37" w:rsidRDefault="00684B37" w:rsidP="00684B37">
      <w:pPr>
        <w:spacing w:after="936"/>
        <w:ind w:left="3119"/>
        <w:rPr>
          <w:rFonts w:ascii="Tahoma" w:hAnsi="Tahoma" w:cs="Tahoma"/>
          <w:b/>
          <w:sz w:val="32"/>
          <w:szCs w:val="32"/>
        </w:rPr>
      </w:pPr>
      <w:r>
        <w:rPr>
          <w:rFonts w:ascii="Tahoma" w:hAnsi="Tahoma" w:cs="Tahoma"/>
          <w:b/>
          <w:sz w:val="32"/>
          <w:szCs w:val="32"/>
        </w:rPr>
        <w:t xml:space="preserve">  Vollmacht</w:t>
      </w:r>
    </w:p>
    <w:p w:rsidR="00684B37" w:rsidRDefault="00684B37" w:rsidP="00684B37">
      <w:pPr>
        <w:spacing w:after="432"/>
        <w:rPr>
          <w:rFonts w:ascii="Tahoma" w:hAnsi="Tahoma" w:cs="Tahoma"/>
        </w:rPr>
      </w:pPr>
      <w:r>
        <w:rPr>
          <w:rFonts w:ascii="Tahoma" w:hAnsi="Tahoma" w:cs="Tahoma"/>
        </w:rPr>
        <w:t>wird hiermit in Sachen</w:t>
      </w:r>
    </w:p>
    <w:p w:rsidR="00684B37" w:rsidRDefault="00684B37" w:rsidP="00684B37">
      <w:pPr>
        <w:tabs>
          <w:tab w:val="left" w:pos="6480"/>
        </w:tabs>
        <w:rPr>
          <w:rFonts w:ascii="Tahoma" w:hAnsi="Tahoma" w:cs="Tahoma"/>
        </w:rPr>
      </w:pPr>
      <w:r>
        <w:rPr>
          <w:rFonts w:ascii="Tahoma" w:hAnsi="Tahoma" w:cs="Tahoma"/>
        </w:rPr>
        <w:t>wegen</w:t>
      </w:r>
      <w:r>
        <w:rPr>
          <w:rFonts w:ascii="Tahoma" w:hAnsi="Tahoma" w:cs="Tahoma"/>
        </w:rPr>
        <w:tab/>
        <w:t>Vollmacht erteilt:</w:t>
      </w:r>
    </w:p>
    <w:p w:rsidR="00684B37" w:rsidRDefault="00684B37" w:rsidP="00684B37">
      <w:pPr>
        <w:ind w:left="288" w:hanging="288"/>
        <w:rPr>
          <w:rFonts w:ascii="Tahoma" w:hAnsi="Tahoma" w:cs="Tahoma"/>
        </w:rPr>
      </w:pPr>
    </w:p>
    <w:p w:rsidR="00684B37" w:rsidRDefault="00684B37" w:rsidP="00684B37">
      <w:pPr>
        <w:ind w:left="288" w:hanging="288"/>
        <w:rPr>
          <w:rFonts w:ascii="Tahoma" w:hAnsi="Tahoma" w:cs="Tahoma"/>
        </w:rPr>
      </w:pPr>
    </w:p>
    <w:p w:rsidR="00684B37" w:rsidRDefault="00684B37" w:rsidP="00684B37">
      <w:pPr>
        <w:ind w:left="288" w:hanging="288"/>
        <w:rPr>
          <w:rFonts w:ascii="Tahoma" w:hAnsi="Tahoma" w:cs="Tahoma"/>
        </w:rPr>
      </w:pPr>
    </w:p>
    <w:p w:rsidR="00684B37" w:rsidRDefault="00684B37" w:rsidP="00684B37">
      <w:pPr>
        <w:ind w:left="288" w:hanging="288"/>
        <w:rPr>
          <w:rFonts w:ascii="Tahoma" w:hAnsi="Tahoma" w:cs="Tahoma"/>
        </w:rPr>
      </w:pPr>
      <w:r>
        <w:rPr>
          <w:rFonts w:ascii="Tahoma" w:hAnsi="Tahoma" w:cs="Tahoma"/>
        </w:rPr>
        <w:t>1.   zur Prozessführung (u.a. nach §§ 81 ff. ZPO) einschließlich der Befugnis zur Erhebung und</w:t>
      </w:r>
    </w:p>
    <w:p w:rsidR="00684B37" w:rsidRDefault="00684B37" w:rsidP="00684B37">
      <w:pPr>
        <w:ind w:left="426" w:hanging="288"/>
        <w:rPr>
          <w:rFonts w:ascii="Tahoma" w:hAnsi="Tahoma" w:cs="Tahoma"/>
        </w:rPr>
      </w:pPr>
      <w:r>
        <w:rPr>
          <w:rFonts w:ascii="Tahoma" w:hAnsi="Tahoma" w:cs="Tahoma"/>
        </w:rPr>
        <w:t xml:space="preserve">    Zurücknahme von Widerklagen;</w:t>
      </w:r>
    </w:p>
    <w:p w:rsidR="00684B37" w:rsidRDefault="00684B37" w:rsidP="00684B37">
      <w:pPr>
        <w:rPr>
          <w:rFonts w:ascii="Tahoma" w:hAnsi="Tahoma" w:cs="Tahoma"/>
        </w:rPr>
      </w:pPr>
    </w:p>
    <w:p w:rsidR="00684B37" w:rsidRDefault="00684B37" w:rsidP="00684B37">
      <w:pPr>
        <w:ind w:left="284" w:hanging="284"/>
        <w:rPr>
          <w:rFonts w:ascii="Tahoma" w:hAnsi="Tahoma" w:cs="Tahoma"/>
        </w:rPr>
      </w:pPr>
      <w:r>
        <w:rPr>
          <w:rFonts w:ascii="Tahoma" w:hAnsi="Tahoma" w:cs="Tahoma"/>
        </w:rPr>
        <w:t>2.   zur Vertretung in sonstigen Verfahren und bei außergerichtlichen Verhandlungen aller Art;</w:t>
      </w:r>
    </w:p>
    <w:p w:rsidR="00684B37" w:rsidRDefault="00684B37" w:rsidP="00684B37">
      <w:pPr>
        <w:ind w:left="288" w:hanging="288"/>
        <w:jc w:val="both"/>
        <w:rPr>
          <w:rFonts w:ascii="Tahoma" w:hAnsi="Tahoma" w:cs="Tahoma"/>
        </w:rPr>
      </w:pPr>
    </w:p>
    <w:p w:rsidR="00684B37" w:rsidRDefault="00684B37" w:rsidP="00684B37">
      <w:pPr>
        <w:ind w:left="288" w:hanging="288"/>
        <w:jc w:val="both"/>
        <w:rPr>
          <w:rFonts w:ascii="Tahoma" w:hAnsi="Tahoma" w:cs="Tahoma"/>
        </w:rPr>
      </w:pPr>
      <w:r>
        <w:rPr>
          <w:rFonts w:ascii="Tahoma" w:hAnsi="Tahoma" w:cs="Tahoma"/>
        </w:rPr>
        <w:t>3.   zur Begründung und Aufhebung von Vertragsverhältnissen und zur Abgabe und Entgegennahme</w:t>
      </w:r>
    </w:p>
    <w:p w:rsidR="00684B37" w:rsidRDefault="00684B37" w:rsidP="00684B37">
      <w:pPr>
        <w:ind w:left="288" w:hanging="288"/>
        <w:jc w:val="both"/>
        <w:rPr>
          <w:rFonts w:ascii="Tahoma" w:hAnsi="Tahoma" w:cs="Tahoma"/>
        </w:rPr>
      </w:pPr>
      <w:r>
        <w:rPr>
          <w:rFonts w:ascii="Tahoma" w:hAnsi="Tahoma" w:cs="Tahoma"/>
        </w:rPr>
        <w:t xml:space="preserve">      von einseitigen Willenserklärungen (z.B. Kündigungen) in Zusammenhang mit der oben </w:t>
      </w:r>
    </w:p>
    <w:p w:rsidR="00684B37" w:rsidRDefault="00684B37" w:rsidP="00684B37">
      <w:pPr>
        <w:ind w:left="288" w:hanging="288"/>
        <w:jc w:val="both"/>
        <w:rPr>
          <w:rFonts w:ascii="Tahoma" w:hAnsi="Tahoma" w:cs="Tahoma"/>
        </w:rPr>
      </w:pPr>
      <w:r>
        <w:rPr>
          <w:rFonts w:ascii="Tahoma" w:hAnsi="Tahoma" w:cs="Tahoma"/>
        </w:rPr>
        <w:t xml:space="preserve">      genannten Angelegenheit. </w:t>
      </w:r>
    </w:p>
    <w:p w:rsidR="00684B37" w:rsidRDefault="00684B37" w:rsidP="00684B37">
      <w:pPr>
        <w:jc w:val="both"/>
        <w:rPr>
          <w:rFonts w:ascii="Tahoma" w:hAnsi="Tahoma" w:cs="Tahoma"/>
        </w:rPr>
      </w:pPr>
    </w:p>
    <w:p w:rsidR="00684B37" w:rsidRDefault="00684B37" w:rsidP="00684B37">
      <w:pPr>
        <w:jc w:val="both"/>
        <w:rPr>
          <w:rFonts w:ascii="Tahoma" w:hAnsi="Tahoma" w:cs="Tahoma"/>
        </w:rPr>
      </w:pPr>
    </w:p>
    <w:p w:rsidR="00684B37" w:rsidRDefault="00684B37" w:rsidP="00684B37">
      <w:pPr>
        <w:jc w:val="both"/>
        <w:rPr>
          <w:rFonts w:ascii="Tahoma" w:hAnsi="Tahoma" w:cs="Tahoma"/>
        </w:rPr>
      </w:pPr>
      <w:r>
        <w:rPr>
          <w:rFonts w:ascii="Tahoma" w:hAnsi="Tahoma" w:cs="Tahoma"/>
        </w:rPr>
        <w:t>Die Vollmacht gilt für alle Instanzen und erstreckt sich auch auf  Neben-  und Folgeverfahren  aller Art (z.B. Arrest und einstweilige Verfügung, Kostenfestsetzungs-, Zwangsvollstreckungs-, Interventions-, Zwangsversteigerungs-, Zwangsverwaltungs- und Hinterlegungsverfahren sowie Insolvenz- und Vergleichsverfahren über das Vermögen des Gegners).</w:t>
      </w:r>
    </w:p>
    <w:p w:rsidR="00684B37" w:rsidRDefault="00684B37" w:rsidP="00684B37">
      <w:pPr>
        <w:jc w:val="both"/>
        <w:rPr>
          <w:rFonts w:ascii="Tahoma" w:hAnsi="Tahoma" w:cs="Tahoma"/>
        </w:rPr>
      </w:pPr>
    </w:p>
    <w:p w:rsidR="00684B37" w:rsidRDefault="00684B37" w:rsidP="00684B37">
      <w:pPr>
        <w:jc w:val="both"/>
        <w:rPr>
          <w:rFonts w:ascii="Tahoma" w:hAnsi="Tahoma" w:cs="Tahoma"/>
        </w:rPr>
      </w:pPr>
    </w:p>
    <w:p w:rsidR="00684B37" w:rsidRDefault="00684B37" w:rsidP="00684B37">
      <w:pPr>
        <w:jc w:val="both"/>
        <w:rPr>
          <w:rFonts w:ascii="Tahoma" w:hAnsi="Tahoma" w:cs="Tahoma"/>
        </w:rPr>
      </w:pPr>
      <w:r>
        <w:rPr>
          <w:rFonts w:ascii="Tahoma" w:hAnsi="Tahoma" w:cs="Tahoma"/>
        </w:rPr>
        <w:t>Sie umfasst insbesondere die Befugnis, Zustellungen zu bewirken und entgegenzunehmen, die Vollmacht ganz oder teilweise auf andere zu übertragen (Untervollmacht), Rechtsmittel einzulegen, zurückzunehmen oder auf sie zu verzichten, den Rechtsstreit oder außergerichtliche Verhandlungen durch Vergleich, Verzicht oder Anerkenntnis zu erledigen, Geld, Wertsachen und Urkunden, insbesondere auch den Streitgegenstand und die von dem Gegner, von der Justizkasse oder von sonstigen Stellen zu erstattenden Beträge entgegenzunehmen sowie Akteneinsicht zu nehmen.</w:t>
      </w:r>
    </w:p>
    <w:p w:rsidR="00684B37" w:rsidRDefault="00684B37" w:rsidP="00684B37">
      <w:pPr>
        <w:rPr>
          <w:rFonts w:ascii="Tahoma" w:hAnsi="Tahoma" w:cs="Tahoma"/>
        </w:rPr>
      </w:pPr>
    </w:p>
    <w:p w:rsidR="00684B37" w:rsidRDefault="00684B37" w:rsidP="00684B37">
      <w:pPr>
        <w:rPr>
          <w:rFonts w:ascii="Tahoma" w:hAnsi="Tahoma" w:cs="Tahoma"/>
        </w:rPr>
      </w:pPr>
    </w:p>
    <w:p w:rsidR="00684B37" w:rsidRDefault="00684B37" w:rsidP="00684B37">
      <w:pPr>
        <w:rPr>
          <w:rFonts w:ascii="Tahoma" w:hAnsi="Tahoma" w:cs="Tahoma"/>
        </w:rPr>
      </w:pPr>
    </w:p>
    <w:p w:rsidR="00684B37" w:rsidRDefault="00684B37" w:rsidP="00684B37">
      <w:pPr>
        <w:rPr>
          <w:rFonts w:ascii="Tahoma" w:hAnsi="Tahoma" w:cs="Tahoma"/>
        </w:rPr>
      </w:pPr>
    </w:p>
    <w:p w:rsidR="00684B37" w:rsidRDefault="00684B37" w:rsidP="00684B37">
      <w:pPr>
        <w:rPr>
          <w:rFonts w:ascii="Tahoma" w:hAnsi="Tahoma" w:cs="Tahoma"/>
        </w:rPr>
      </w:pPr>
    </w:p>
    <w:p w:rsidR="00684B37" w:rsidRDefault="00684B37" w:rsidP="00684B37">
      <w:pPr>
        <w:rPr>
          <w:rFonts w:ascii="Tahoma" w:hAnsi="Tahoma" w:cs="Tahoma"/>
        </w:rPr>
      </w:pPr>
    </w:p>
    <w:p w:rsidR="00684B37" w:rsidRDefault="00684B37" w:rsidP="00684B37">
      <w:pPr>
        <w:rPr>
          <w:rFonts w:ascii="Tahoma" w:hAnsi="Tahoma" w:cs="Tahoma"/>
        </w:rPr>
      </w:pPr>
      <w:r>
        <w:rPr>
          <w:rFonts w:ascii="Tahoma" w:hAnsi="Tahoma" w:cs="Tahoma"/>
        </w:rPr>
        <w:t>Berlin, den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684B37" w:rsidRDefault="00684B37" w:rsidP="00684B37">
      <w:pPr>
        <w:rPr>
          <w:rFonts w:ascii="Tahoma" w:hAnsi="Tahoma" w:cs="Tahoma"/>
        </w:rPr>
      </w:pPr>
      <w:r>
        <w:rPr>
          <w:rFonts w:ascii="Tahoma" w:hAnsi="Tahoma" w:cs="Tahoma"/>
        </w:rPr>
        <w:t xml:space="preserve">                                                                                                       (Unterschrift)</w:t>
      </w:r>
    </w:p>
    <w:p w:rsidR="008110CA" w:rsidRDefault="008110CA"/>
    <w:sectPr w:rsidR="008110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attachedTemplate r:id="rId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enutzer»" w:val="Nie"/>
    <w:docVar w:name="database" w:val="ADVOWARE"/>
    <w:docVar w:name="history" w:val="Schreiben an"/>
    <w:docVar w:name="nr" w:val="2019000159"/>
    <w:docVar w:name="speichern" w:val="ja"/>
  </w:docVars>
  <w:rsids>
    <w:rsidRoot w:val="008110CA"/>
    <w:rsid w:val="001F2AFF"/>
    <w:rsid w:val="00684B37"/>
    <w:rsid w:val="008110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4B37"/>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Advoware\DOT\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LEER.dot</Template>
  <TotalTime>0</TotalTime>
  <Pages>1</Pages>
  <Words>265</Words>
  <Characters>1423</Characters>
  <Application>Microsoft Office Word</Application>
  <DocSecurity>0</DocSecurity>
  <Lines>67</Lines>
  <Paragraphs>34</Paragraphs>
  <ScaleCrop>false</ScaleCrop>
  <HeadingPairs>
    <vt:vector size="2" baseType="variant">
      <vt:variant>
        <vt:lpstr>Titel</vt:lpstr>
      </vt:variant>
      <vt:variant>
        <vt:i4>1</vt:i4>
      </vt:variant>
    </vt:vector>
  </HeadingPairs>
  <TitlesOfParts>
    <vt:vector size="1" baseType="lpstr">
      <vt:lpstr>Leeres Blatt</vt:lpstr>
    </vt:vector>
  </TitlesOfParts>
  <Company>Advo-web GmbH</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Vollmacht Ullrich.docx</dc:title>
  <dc:subject/>
  <dc:creator>Jura</dc:creator>
  <cp:keywords>2019000159</cp:keywords>
  <dc:description/>
  <cp:lastModifiedBy>Jura</cp:lastModifiedBy>
  <cp:revision>3</cp:revision>
  <cp:lastPrinted>2020-03-10T09:03:00Z</cp:lastPrinted>
  <dcterms:created xsi:type="dcterms:W3CDTF">2020-03-10T08:16:00Z</dcterms:created>
  <dcterms:modified xsi:type="dcterms:W3CDTF">2020-03-10T09:04:00Z</dcterms:modified>
</cp:coreProperties>
</file>